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43FCB14F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</w:t>
      </w:r>
      <w:r w:rsidR="00BB0FA4">
        <w:rPr>
          <w:rFonts w:ascii="Corbel" w:hAnsi="Corbel"/>
          <w:i/>
          <w:smallCaps/>
        </w:rPr>
        <w:t>2</w:t>
      </w:r>
      <w:r w:rsidR="009179E0">
        <w:rPr>
          <w:rFonts w:ascii="Corbel" w:hAnsi="Corbel"/>
          <w:i/>
          <w:smallCaps/>
        </w:rPr>
        <w:t xml:space="preserve"> – 202</w:t>
      </w:r>
      <w:r w:rsidR="00BB0FA4">
        <w:rPr>
          <w:rFonts w:ascii="Corbel" w:hAnsi="Corbel"/>
          <w:i/>
          <w:smallCaps/>
        </w:rPr>
        <w:t>5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51D833CC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BB0FA4">
        <w:rPr>
          <w:rFonts w:ascii="Corbel" w:hAnsi="Corbel"/>
          <w:b/>
        </w:rPr>
        <w:t>2/</w:t>
      </w:r>
      <w:r w:rsidR="009179E0">
        <w:rPr>
          <w:rFonts w:ascii="Corbel" w:hAnsi="Corbel"/>
          <w:b/>
        </w:rPr>
        <w:t>202</w:t>
      </w:r>
      <w:r w:rsidR="00BB0FA4">
        <w:rPr>
          <w:rFonts w:ascii="Corbel" w:hAnsi="Corbel"/>
          <w:b/>
        </w:rPr>
        <w:t>3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5C7640F6" w:rsidR="0085747A" w:rsidRPr="00673147" w:rsidRDefault="00BB0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8B7BB53" w:rsidR="0085747A" w:rsidRPr="00B57EB1" w:rsidRDefault="00782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</w:t>
            </w:r>
            <w:r w:rsidR="00BB0FA4">
              <w:rPr>
                <w:rFonts w:ascii="Corbel" w:hAnsi="Corbel"/>
                <w:b w:val="0"/>
                <w:color w:val="auto"/>
                <w:sz w:val="22"/>
              </w:rPr>
              <w:t>a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59D34859" w:rsidR="00015B8F" w:rsidRPr="00673147" w:rsidRDefault="00BB0FA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74362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1A8223B8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D88B5F2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Podstawowe pojęcia konstytutywne dla pedagogiki: socjalizacja, wychowanie,</w:t>
            </w:r>
            <w:r w:rsidR="00904838">
              <w:rPr>
                <w:rFonts w:ascii="Corbel" w:hAnsi="Corbel"/>
              </w:rPr>
              <w:t xml:space="preserve"> samowychowanie, kształcenie, samokształcenie, nauczanie, uczenie się, </w:t>
            </w:r>
            <w:r w:rsidR="004001EE">
              <w:rPr>
                <w:rFonts w:ascii="Corbel" w:hAnsi="Corbel"/>
              </w:rPr>
              <w:t>edukacja,</w:t>
            </w:r>
            <w:r w:rsidRPr="00673147">
              <w:rPr>
                <w:rFonts w:ascii="Corbel" w:hAnsi="Corbel"/>
              </w:rPr>
              <w:t xml:space="preserve">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395DDC3F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</w:t>
            </w:r>
            <w:r w:rsidR="009F2279">
              <w:rPr>
                <w:rFonts w:ascii="Corbel" w:hAnsi="Corbel"/>
              </w:rPr>
              <w:t>mi</w:t>
            </w:r>
            <w:r w:rsidR="007101C6">
              <w:rPr>
                <w:rFonts w:ascii="Corbel" w:hAnsi="Corbel"/>
              </w:rPr>
              <w:t>n</w:t>
            </w:r>
            <w:r w:rsidR="009F2279"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>szkoła, internat, dom dziecka</w:t>
            </w:r>
            <w:r w:rsidR="009F2279">
              <w:rPr>
                <w:rFonts w:ascii="Corbel" w:hAnsi="Corbel"/>
              </w:rPr>
              <w:t xml:space="preserve">, świetlica </w:t>
            </w:r>
            <w:r w:rsidR="00AE2958">
              <w:rPr>
                <w:rFonts w:ascii="Corbel" w:hAnsi="Corbel"/>
              </w:rPr>
              <w:t>ś</w:t>
            </w:r>
            <w:r w:rsidR="009F2279">
              <w:rPr>
                <w:rFonts w:ascii="Corbel" w:hAnsi="Corbel"/>
              </w:rPr>
              <w:t>rodowiskowa</w:t>
            </w:r>
            <w:r w:rsidRPr="00673147">
              <w:rPr>
                <w:rFonts w:ascii="Corbel" w:hAnsi="Corbel"/>
              </w:rPr>
              <w:t>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3DAC203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lastRenderedPageBreak/>
              <w:t>Wybrane koncepcje filozoficzno-psychologiczne współczesnej pedagogiki: pedagogika pozytywistyczna,</w:t>
            </w:r>
            <w:r w:rsidR="00985A7B">
              <w:rPr>
                <w:rFonts w:ascii="Corbel" w:hAnsi="Corbel" w:cs="TimesNewRomanPSMT"/>
                <w:lang w:eastAsia="pl-PL"/>
              </w:rPr>
              <w:t xml:space="preserve"> personalistyczna,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behawioralna, humanistyczna, kultury, antypedagogika</w:t>
            </w:r>
            <w:r w:rsidR="009526B8">
              <w:rPr>
                <w:rFonts w:ascii="Corbel" w:hAnsi="Corbel" w:cs="TimesNewRomanPSMT"/>
                <w:lang w:eastAsia="pl-PL"/>
              </w:rPr>
              <w:t xml:space="preserve">, krytyczna, </w:t>
            </w:r>
            <w:r w:rsidR="00DE54A9">
              <w:rPr>
                <w:rFonts w:ascii="Corbel" w:hAnsi="Corbel" w:cs="TimesNewRomanPSMT"/>
                <w:lang w:eastAsia="pl-PL"/>
              </w:rPr>
              <w:t>egzystencjalna, religijna.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2383964C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Egzamin, </w:t>
            </w:r>
            <w:r w:rsidRPr="00973AD2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3F895DEF" w:rsidR="00150D32" w:rsidRPr="006E41C3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0FE27D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01E6781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4F75303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Ćwiczenia: pozytywne zaliczenie kolokwium, aktywność na zajęciach (udział w dyskusji, przygotowanie prezentacji)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7777777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Wykład: 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5E01FFF7" w:rsidR="00590537" w:rsidRPr="00590537" w:rsidRDefault="00590537" w:rsidP="00590537">
            <w:pPr>
              <w:spacing w:after="0" w:line="240" w:lineRule="auto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65C1A45C" w:rsidR="0085747A" w:rsidRPr="00673147" w:rsidRDefault="00BB0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4362">
              <w:rPr>
                <w:rFonts w:ascii="Corbel" w:hAnsi="Corbel"/>
              </w:rPr>
              <w:t>60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178BC710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  <w:r w:rsidR="0086452F">
              <w:rPr>
                <w:rFonts w:ascii="Corbel" w:hAnsi="Corbel"/>
              </w:rPr>
              <w:t>:</w:t>
            </w:r>
          </w:p>
          <w:p w14:paraId="03F3772F" w14:textId="7A530E51" w:rsidR="00FB1B25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 xml:space="preserve">udział w konsultacjach </w:t>
            </w:r>
          </w:p>
          <w:p w14:paraId="05C1FF6C" w14:textId="41EA3548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-udział w </w:t>
            </w:r>
            <w:r w:rsidR="00C61DC5" w:rsidRPr="0067314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5FE3801A" w:rsidR="00FB1B25" w:rsidRDefault="00E01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50F78AB1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  <w:r w:rsidR="0086452F">
              <w:rPr>
                <w:rFonts w:ascii="Corbel" w:hAnsi="Corbel"/>
              </w:rPr>
              <w:t>:</w:t>
            </w:r>
          </w:p>
          <w:p w14:paraId="1B531FF1" w14:textId="5F593C19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>przygotowanie do zajęć</w:t>
            </w:r>
          </w:p>
          <w:p w14:paraId="2730AC93" w14:textId="0C68B12F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  <w:p w14:paraId="316FA4BA" w14:textId="6C6DA393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</w:t>
            </w:r>
            <w:r w:rsidR="00C61DC5" w:rsidRPr="00673147"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14:paraId="6647ABFB" w14:textId="6178A56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2D720C" w14:textId="2CCBD800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7C8ED605" w14:textId="29C074B6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230F43D2" w14:textId="52EAD00B" w:rsidR="0086452F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D464B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5A810991" w:rsidR="0085747A" w:rsidRPr="00F74362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58E821" w14:textId="77777777" w:rsidR="008E09AD" w:rsidRPr="00F74362" w:rsidRDefault="008E09AD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26EB6" w14:textId="779AD640" w:rsidR="00D83D4D" w:rsidRPr="00F74362" w:rsidRDefault="00D83D4D" w:rsidP="001839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Agresja i przemoc. Współczesne konteksty I wyzwania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Dyskurs Pedagogiczny, Tom 6, rok 2013, red. Wyd. PWSTE w Jarosławiu, Jarosław 2013.</w:t>
            </w:r>
          </w:p>
          <w:p w14:paraId="056DF690" w14:textId="07FDD1B3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Desmurget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E3FF76F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77044DB7" w14:textId="22BBE837" w:rsidR="00DB2C3B" w:rsidRPr="00F74362" w:rsidRDefault="00DB2C3B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Korczak J,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Teksty wybrane,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2021.</w:t>
            </w:r>
          </w:p>
          <w:p w14:paraId="3E88633B" w14:textId="1E361D24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1D08AE5E" w14:textId="026423FE" w:rsidR="00AE6540" w:rsidRPr="00F74362" w:rsidRDefault="00AE654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Montessorii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i potencjał człowieka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S.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Camarda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2021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170884" w14:textId="77777777" w:rsidR="00A27BC9" w:rsidRPr="00F74362" w:rsidRDefault="00A27BC9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 w:rsidRPr="00F74362"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4EE70060" w:rsidR="006217FE" w:rsidRPr="00F74362" w:rsidRDefault="006217FE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F743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4362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F74362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  <w:r w:rsidR="00CE40B3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3384B9DA" w14:textId="61B89DFE" w:rsidR="00615D90" w:rsidRPr="00F74362" w:rsidRDefault="00615D90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 w:rsidRPr="00F74362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0291FE6E" w14:textId="2B4D0B22" w:rsidR="003F3DF2" w:rsidRPr="00F74362" w:rsidRDefault="003F3DF2" w:rsidP="0091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0AD566CC" w14:textId="43CF0F0D" w:rsidR="006217FE" w:rsidRPr="00F74362" w:rsidRDefault="006217FE" w:rsidP="001839B2">
            <w:pPr>
              <w:spacing w:after="0" w:line="240" w:lineRule="auto"/>
              <w:ind w:left="1026" w:hanging="99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436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F74362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50B29B6C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Patzlaff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6F015992" w14:textId="7A710D43" w:rsidR="00F642A3" w:rsidRPr="00F74362" w:rsidRDefault="00F642A3" w:rsidP="00F7436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Profesjonalizm nauczyciela/wychowawcy – oczekiwania przyszłych pedagogów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 w:rsidR="00CE40B3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(12/2)2018, ISSN 2353-7140</w:t>
            </w:r>
            <w:r w:rsidR="00A5037A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F408C21" w14:textId="7174E592" w:rsidR="00AE0640" w:rsidRPr="00F74362" w:rsidRDefault="00AE0640" w:rsidP="00AE064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Przemoc i agresja jako zagrożenie bezpieczeństwa i rozwoju dziecka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M. Żak,  Dyskurs Pedagogiczny, Tom 7, rok 2013, red. Wyd. .PWSTE w Jarosławiu, Jarosław 2013</w:t>
            </w:r>
            <w:r w:rsidR="003F3DF2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FB57CCC" w14:textId="27AA684A" w:rsidR="005F30EB" w:rsidRPr="00F74362" w:rsidRDefault="00AE0640" w:rsidP="00D83D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System wychowania liberalnego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w: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dyskursie pedagogicznym i edukacyjnym doby współczesnej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Wyd. PWSTE w Jarosławiu, Jarosław 2012.</w:t>
            </w:r>
          </w:p>
          <w:p w14:paraId="7A5BF366" w14:textId="04C97962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17952776" w14:textId="4A87BC77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5B622895" w:rsidR="0085747A" w:rsidRPr="00F74362" w:rsidRDefault="000931C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B0FAEB2" w14:textId="35560B98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32AA8A3A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5385A56A" w14:textId="6B854144" w:rsidR="00D67480" w:rsidRPr="00F74362" w:rsidRDefault="00D67480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anusz Korczak, Piotr Skarga – wielcy reformatorzy, społecznicy i wychowawcy wyzwaniem dla współczesnych pedagogów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Dyskurs Pedagogiczny, T.8, red. M. Żak, E. Tłuczek-Tadla, m. Cichowska,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PWSTE w Jarosławiu, Jarosław 2013.</w:t>
            </w:r>
          </w:p>
          <w:p w14:paraId="7DB9D8E4" w14:textId="77777777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154A5DC" w14:textId="46681C9B" w:rsidR="000931C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  <w:p w14:paraId="231E41A6" w14:textId="2D7FF05C" w:rsidR="0026604A" w:rsidRPr="00F74362" w:rsidRDefault="0026604A" w:rsidP="008F0F8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obywatelska w stowarzyszeniu młodzieżowym. Studium teoretyczno-empiryczne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(monografia) Wyd. Uniwersytetu Rzeszowskiego, Rzeszów 2012.</w:t>
            </w:r>
          </w:p>
          <w:p w14:paraId="425769FE" w14:textId="77777777" w:rsidR="0099650E" w:rsidRPr="00F74362" w:rsidRDefault="0099650E" w:rsidP="008F0F8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Zielińska-Czopek M.,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Autokraci czy demokraci? Nauczycielskie kierowanie pracą klasy szkolnej</w:t>
            </w:r>
            <w:r w:rsidRPr="00F74362">
              <w:rPr>
                <w:rFonts w:ascii="Corbel" w:hAnsi="Corbel"/>
                <w:sz w:val="24"/>
                <w:szCs w:val="24"/>
              </w:rPr>
              <w:t>, Wydawnictwo Uniwersytetu Rzeszowskiego, Rzeszów 2021.</w:t>
            </w:r>
          </w:p>
          <w:p w14:paraId="04847B7C" w14:textId="6E244AC0" w:rsidR="0099650E" w:rsidRPr="00F74362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C193B" w14:textId="77777777" w:rsidR="006A4854" w:rsidRDefault="006A4854" w:rsidP="00C16ABF">
      <w:pPr>
        <w:spacing w:after="0" w:line="240" w:lineRule="auto"/>
      </w:pPr>
      <w:r>
        <w:separator/>
      </w:r>
    </w:p>
  </w:endnote>
  <w:endnote w:type="continuationSeparator" w:id="0">
    <w:p w14:paraId="20EE5503" w14:textId="77777777" w:rsidR="006A4854" w:rsidRDefault="006A48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02A1" w14:textId="77777777" w:rsidR="006A4854" w:rsidRDefault="006A4854" w:rsidP="00C16ABF">
      <w:pPr>
        <w:spacing w:after="0" w:line="240" w:lineRule="auto"/>
      </w:pPr>
      <w:r>
        <w:separator/>
      </w:r>
    </w:p>
  </w:footnote>
  <w:footnote w:type="continuationSeparator" w:id="0">
    <w:p w14:paraId="54F72EC6" w14:textId="77777777" w:rsidR="006A4854" w:rsidRDefault="006A4854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494240">
    <w:abstractNumId w:val="0"/>
  </w:num>
  <w:num w:numId="2" w16cid:durableId="2008901724">
    <w:abstractNumId w:val="1"/>
  </w:num>
  <w:num w:numId="3" w16cid:durableId="783427727">
    <w:abstractNumId w:val="5"/>
  </w:num>
  <w:num w:numId="4" w16cid:durableId="265425012">
    <w:abstractNumId w:val="6"/>
  </w:num>
  <w:num w:numId="5" w16cid:durableId="499739212">
    <w:abstractNumId w:val="4"/>
  </w:num>
  <w:num w:numId="6" w16cid:durableId="1975140620">
    <w:abstractNumId w:val="3"/>
  </w:num>
  <w:num w:numId="7" w16cid:durableId="130904467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17C7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7D3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498"/>
    <w:rsid w:val="001839B2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52744"/>
    <w:rsid w:val="0026604A"/>
    <w:rsid w:val="00267C6A"/>
    <w:rsid w:val="00281FF2"/>
    <w:rsid w:val="002857DE"/>
    <w:rsid w:val="00291567"/>
    <w:rsid w:val="002A1EAB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E5CB5"/>
    <w:rsid w:val="002F02A3"/>
    <w:rsid w:val="002F4ABE"/>
    <w:rsid w:val="003018BA"/>
    <w:rsid w:val="0030395F"/>
    <w:rsid w:val="00305C92"/>
    <w:rsid w:val="0031096F"/>
    <w:rsid w:val="0031322A"/>
    <w:rsid w:val="003151C5"/>
    <w:rsid w:val="0032532E"/>
    <w:rsid w:val="00332A92"/>
    <w:rsid w:val="003343CF"/>
    <w:rsid w:val="00336407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93A24"/>
    <w:rsid w:val="003A0A5B"/>
    <w:rsid w:val="003A1176"/>
    <w:rsid w:val="003A1F59"/>
    <w:rsid w:val="003C0BAE"/>
    <w:rsid w:val="003C0C5A"/>
    <w:rsid w:val="003C5AC2"/>
    <w:rsid w:val="003D18A9"/>
    <w:rsid w:val="003D4D31"/>
    <w:rsid w:val="003D5991"/>
    <w:rsid w:val="003D6CE2"/>
    <w:rsid w:val="003E1941"/>
    <w:rsid w:val="003E2FE6"/>
    <w:rsid w:val="003E49D5"/>
    <w:rsid w:val="003F13F5"/>
    <w:rsid w:val="003F38C0"/>
    <w:rsid w:val="003F3DF2"/>
    <w:rsid w:val="003F7D1B"/>
    <w:rsid w:val="004001EE"/>
    <w:rsid w:val="004132D0"/>
    <w:rsid w:val="00414E3C"/>
    <w:rsid w:val="00417DB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606F5"/>
    <w:rsid w:val="00563B80"/>
    <w:rsid w:val="0056514B"/>
    <w:rsid w:val="0056696D"/>
    <w:rsid w:val="00572B14"/>
    <w:rsid w:val="00573EF9"/>
    <w:rsid w:val="00590537"/>
    <w:rsid w:val="0059484D"/>
    <w:rsid w:val="005A0855"/>
    <w:rsid w:val="005A14C0"/>
    <w:rsid w:val="005A3196"/>
    <w:rsid w:val="005C080F"/>
    <w:rsid w:val="005C55E5"/>
    <w:rsid w:val="005C696A"/>
    <w:rsid w:val="005D4F2D"/>
    <w:rsid w:val="005E0A30"/>
    <w:rsid w:val="005E6E85"/>
    <w:rsid w:val="005F30EB"/>
    <w:rsid w:val="005F31D2"/>
    <w:rsid w:val="00600809"/>
    <w:rsid w:val="00607AF4"/>
    <w:rsid w:val="0061029B"/>
    <w:rsid w:val="0061322E"/>
    <w:rsid w:val="00615D90"/>
    <w:rsid w:val="00617230"/>
    <w:rsid w:val="006217FE"/>
    <w:rsid w:val="00621CE1"/>
    <w:rsid w:val="00627FC9"/>
    <w:rsid w:val="00644597"/>
    <w:rsid w:val="006474B2"/>
    <w:rsid w:val="006475DF"/>
    <w:rsid w:val="00647FA8"/>
    <w:rsid w:val="00650492"/>
    <w:rsid w:val="00650C5F"/>
    <w:rsid w:val="00650E6C"/>
    <w:rsid w:val="00651E0E"/>
    <w:rsid w:val="00651FB5"/>
    <w:rsid w:val="00654934"/>
    <w:rsid w:val="00661173"/>
    <w:rsid w:val="006620D9"/>
    <w:rsid w:val="00667F37"/>
    <w:rsid w:val="00671958"/>
    <w:rsid w:val="00672616"/>
    <w:rsid w:val="00673147"/>
    <w:rsid w:val="00675843"/>
    <w:rsid w:val="00676603"/>
    <w:rsid w:val="00696477"/>
    <w:rsid w:val="006A4854"/>
    <w:rsid w:val="006C6E8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01C6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67B86"/>
    <w:rsid w:val="0078168C"/>
    <w:rsid w:val="00782BBD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35C6"/>
    <w:rsid w:val="007D6E56"/>
    <w:rsid w:val="007D6E75"/>
    <w:rsid w:val="007E2FFD"/>
    <w:rsid w:val="007F1652"/>
    <w:rsid w:val="007F4155"/>
    <w:rsid w:val="008152AE"/>
    <w:rsid w:val="0081554D"/>
    <w:rsid w:val="0081707E"/>
    <w:rsid w:val="00817C4D"/>
    <w:rsid w:val="0083781D"/>
    <w:rsid w:val="008449B3"/>
    <w:rsid w:val="0085747A"/>
    <w:rsid w:val="008629E4"/>
    <w:rsid w:val="0086452F"/>
    <w:rsid w:val="00884922"/>
    <w:rsid w:val="00885F64"/>
    <w:rsid w:val="0089059F"/>
    <w:rsid w:val="008917F9"/>
    <w:rsid w:val="008A18E3"/>
    <w:rsid w:val="008A2D82"/>
    <w:rsid w:val="008A45F7"/>
    <w:rsid w:val="008C0CC0"/>
    <w:rsid w:val="008C19A9"/>
    <w:rsid w:val="008C379D"/>
    <w:rsid w:val="008C5147"/>
    <w:rsid w:val="008C5359"/>
    <w:rsid w:val="008C5363"/>
    <w:rsid w:val="008D3DFB"/>
    <w:rsid w:val="008E09AD"/>
    <w:rsid w:val="008E64F4"/>
    <w:rsid w:val="008F095B"/>
    <w:rsid w:val="008F0F8A"/>
    <w:rsid w:val="008F12C9"/>
    <w:rsid w:val="008F6E29"/>
    <w:rsid w:val="008F7DE0"/>
    <w:rsid w:val="00904838"/>
    <w:rsid w:val="009120EA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1796"/>
    <w:rsid w:val="009521C9"/>
    <w:rsid w:val="009526B8"/>
    <w:rsid w:val="00954A07"/>
    <w:rsid w:val="009579DD"/>
    <w:rsid w:val="00973AD2"/>
    <w:rsid w:val="00985A7B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2279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037A"/>
    <w:rsid w:val="00A53FA5"/>
    <w:rsid w:val="00A54817"/>
    <w:rsid w:val="00A601C8"/>
    <w:rsid w:val="00A60799"/>
    <w:rsid w:val="00A64F37"/>
    <w:rsid w:val="00A66C45"/>
    <w:rsid w:val="00A736AC"/>
    <w:rsid w:val="00A837C0"/>
    <w:rsid w:val="00A8483D"/>
    <w:rsid w:val="00A84C85"/>
    <w:rsid w:val="00A941F8"/>
    <w:rsid w:val="00A97DE1"/>
    <w:rsid w:val="00AA2A84"/>
    <w:rsid w:val="00AB053C"/>
    <w:rsid w:val="00AB57E6"/>
    <w:rsid w:val="00AC6866"/>
    <w:rsid w:val="00AD1146"/>
    <w:rsid w:val="00AD27D3"/>
    <w:rsid w:val="00AD38C1"/>
    <w:rsid w:val="00AD66D6"/>
    <w:rsid w:val="00AE0640"/>
    <w:rsid w:val="00AE1160"/>
    <w:rsid w:val="00AE203C"/>
    <w:rsid w:val="00AE2958"/>
    <w:rsid w:val="00AE2E74"/>
    <w:rsid w:val="00AE5EB3"/>
    <w:rsid w:val="00AE5FCB"/>
    <w:rsid w:val="00AE6540"/>
    <w:rsid w:val="00AF2C1E"/>
    <w:rsid w:val="00B06142"/>
    <w:rsid w:val="00B135B1"/>
    <w:rsid w:val="00B2396D"/>
    <w:rsid w:val="00B31094"/>
    <w:rsid w:val="00B3130B"/>
    <w:rsid w:val="00B34C20"/>
    <w:rsid w:val="00B40ADB"/>
    <w:rsid w:val="00B43B77"/>
    <w:rsid w:val="00B43E80"/>
    <w:rsid w:val="00B53068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0FA4"/>
    <w:rsid w:val="00BB520A"/>
    <w:rsid w:val="00BC1820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17F8F"/>
    <w:rsid w:val="00C26CB7"/>
    <w:rsid w:val="00C26EB1"/>
    <w:rsid w:val="00C324C1"/>
    <w:rsid w:val="00C36992"/>
    <w:rsid w:val="00C41A65"/>
    <w:rsid w:val="00C44290"/>
    <w:rsid w:val="00C56036"/>
    <w:rsid w:val="00C61DC5"/>
    <w:rsid w:val="00C67E92"/>
    <w:rsid w:val="00C70A26"/>
    <w:rsid w:val="00C75055"/>
    <w:rsid w:val="00C766DF"/>
    <w:rsid w:val="00C82586"/>
    <w:rsid w:val="00C94B98"/>
    <w:rsid w:val="00CA2B96"/>
    <w:rsid w:val="00CA5089"/>
    <w:rsid w:val="00CB42CB"/>
    <w:rsid w:val="00CB67EA"/>
    <w:rsid w:val="00CD464B"/>
    <w:rsid w:val="00CD6897"/>
    <w:rsid w:val="00CE40B3"/>
    <w:rsid w:val="00CE5BAC"/>
    <w:rsid w:val="00CF25BE"/>
    <w:rsid w:val="00CF78ED"/>
    <w:rsid w:val="00D02B25"/>
    <w:rsid w:val="00D02EBA"/>
    <w:rsid w:val="00D14C92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3D4D"/>
    <w:rsid w:val="00D8678B"/>
    <w:rsid w:val="00DA2114"/>
    <w:rsid w:val="00DA760C"/>
    <w:rsid w:val="00DB2C3B"/>
    <w:rsid w:val="00DB3025"/>
    <w:rsid w:val="00DE09C0"/>
    <w:rsid w:val="00DE3948"/>
    <w:rsid w:val="00DE4A14"/>
    <w:rsid w:val="00DE54A9"/>
    <w:rsid w:val="00DF0681"/>
    <w:rsid w:val="00DF320D"/>
    <w:rsid w:val="00DF3CED"/>
    <w:rsid w:val="00DF5115"/>
    <w:rsid w:val="00DF71C8"/>
    <w:rsid w:val="00E01A57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EF3869"/>
    <w:rsid w:val="00F0092B"/>
    <w:rsid w:val="00F070AB"/>
    <w:rsid w:val="00F15FFD"/>
    <w:rsid w:val="00F16CF3"/>
    <w:rsid w:val="00F17567"/>
    <w:rsid w:val="00F27A7B"/>
    <w:rsid w:val="00F526AF"/>
    <w:rsid w:val="00F617C3"/>
    <w:rsid w:val="00F642A3"/>
    <w:rsid w:val="00F7066B"/>
    <w:rsid w:val="00F74362"/>
    <w:rsid w:val="00F83B28"/>
    <w:rsid w:val="00FA46E5"/>
    <w:rsid w:val="00FB1B25"/>
    <w:rsid w:val="00FB6AA3"/>
    <w:rsid w:val="00FB6FFA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334E1141-2ACD-46BC-9E2B-06E591B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8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8C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F370-7929-4841-8128-EA24CB4A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1</Pages>
  <Words>1499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108</cp:revision>
  <cp:lastPrinted>2020-10-13T08:23:00Z</cp:lastPrinted>
  <dcterms:created xsi:type="dcterms:W3CDTF">2022-05-05T17:34:00Z</dcterms:created>
  <dcterms:modified xsi:type="dcterms:W3CDTF">2022-10-19T13:50:00Z</dcterms:modified>
</cp:coreProperties>
</file>